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80" w:lineRule="exact"/>
        <w:jc w:val="both"/>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bookmarkStart w:id="0" w:name="_GoBack"/>
      <w:bookmarkEnd w:id="0"/>
    </w:p>
    <w:p>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p>
    <w:p>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重庆市</w:t>
      </w:r>
      <w:r>
        <w:rPr>
          <w:rFonts w:hint="eastAsia" w:eastAsia="方正小标宋_GBK" w:cs="Times New Roman"/>
          <w:color w:val="000000" w:themeColor="text1"/>
          <w:sz w:val="44"/>
          <w:szCs w:val="44"/>
          <w:lang w:eastAsia="zh-CN"/>
          <w14:textFill>
            <w14:solidFill>
              <w14:schemeClr w14:val="tx1"/>
            </w14:solidFill>
          </w14:textFill>
        </w:rPr>
        <w:t>两江新区</w:t>
      </w:r>
      <w:r>
        <w:rPr>
          <w:rFonts w:hint="eastAsia" w:ascii="Times New Roman" w:hAnsi="Times New Roman" w:eastAsia="方正小标宋_GBK" w:cs="Times New Roman"/>
          <w:color w:val="000000" w:themeColor="text1"/>
          <w:sz w:val="44"/>
          <w:szCs w:val="44"/>
          <w14:textFill>
            <w14:solidFill>
              <w14:schemeClr w14:val="tx1"/>
            </w14:solidFill>
          </w14:textFill>
        </w:rPr>
        <w:t>公共资源交易领域基层政务公开标准目录</w:t>
      </w:r>
    </w:p>
    <w:p>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tbl>
      <w:tblPr>
        <w:tblStyle w:val="5"/>
        <w:tblW w:w="22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03"/>
        <w:gridCol w:w="1320"/>
        <w:gridCol w:w="3061"/>
        <w:gridCol w:w="3083"/>
        <w:gridCol w:w="1674"/>
        <w:gridCol w:w="1942"/>
        <w:gridCol w:w="3756"/>
        <w:gridCol w:w="1013"/>
        <w:gridCol w:w="1274"/>
        <w:gridCol w:w="1077"/>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restart"/>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序号</w:t>
            </w:r>
          </w:p>
        </w:tc>
        <w:tc>
          <w:tcPr>
            <w:tcW w:w="2823" w:type="dxa"/>
            <w:gridSpan w:val="2"/>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公开事项</w:t>
            </w:r>
          </w:p>
        </w:tc>
        <w:tc>
          <w:tcPr>
            <w:tcW w:w="3061" w:type="dxa"/>
            <w:vMerge w:val="restart"/>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公开内容（要素）</w:t>
            </w:r>
          </w:p>
        </w:tc>
        <w:tc>
          <w:tcPr>
            <w:tcW w:w="3083" w:type="dxa"/>
            <w:vMerge w:val="restart"/>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公开依据</w:t>
            </w:r>
          </w:p>
        </w:tc>
        <w:tc>
          <w:tcPr>
            <w:tcW w:w="1674" w:type="dxa"/>
            <w:vMerge w:val="restart"/>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公开时限</w:t>
            </w:r>
          </w:p>
        </w:tc>
        <w:tc>
          <w:tcPr>
            <w:tcW w:w="1942" w:type="dxa"/>
            <w:vMerge w:val="restart"/>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公开主体</w:t>
            </w:r>
          </w:p>
        </w:tc>
        <w:tc>
          <w:tcPr>
            <w:tcW w:w="3756" w:type="dxa"/>
            <w:vMerge w:val="restart"/>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公开渠道和载体</w:t>
            </w:r>
          </w:p>
        </w:tc>
        <w:tc>
          <w:tcPr>
            <w:tcW w:w="2287" w:type="dxa"/>
            <w:gridSpan w:val="2"/>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公开对象</w:t>
            </w:r>
          </w:p>
        </w:tc>
        <w:tc>
          <w:tcPr>
            <w:tcW w:w="2507" w:type="dxa"/>
            <w:gridSpan w:val="2"/>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continue"/>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一级事项</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二级事项</w:t>
            </w:r>
          </w:p>
        </w:tc>
        <w:tc>
          <w:tcPr>
            <w:tcW w:w="3061" w:type="dxa"/>
            <w:vMerge w:val="continue"/>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083" w:type="dxa"/>
            <w:vMerge w:val="continue"/>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674" w:type="dxa"/>
            <w:vMerge w:val="continue"/>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942" w:type="dxa"/>
            <w:vMerge w:val="continue"/>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756" w:type="dxa"/>
            <w:vMerge w:val="continue"/>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全社会</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特定群体（写明）</w:t>
            </w: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主动</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审批核准信息</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招标内容、招标范围、招标组织形式、招标方式、招标估算金额、招标事项审核或核准部门。</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《中华人民共和国政府信息公开条例》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w:t>
            </w:r>
            <w:r>
              <w:rPr>
                <w:rFonts w:hint="default" w:ascii="Times New Roman" w:hAnsi="Times New Roman" w:cs="Times New Roman"/>
                <w:bCs/>
                <w:color w:val="000000" w:themeColor="text1"/>
                <w:kern w:val="2"/>
                <w:sz w:val="24"/>
                <w:szCs w:val="24"/>
                <w14:textFill>
                  <w14:solidFill>
                    <w14:schemeClr w14:val="tx1"/>
                  </w14:solidFill>
                </w14:textFill>
              </w:rPr>
              <w:t>2017</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default" w:ascii="Times New Roman" w:hAnsi="Times New Roman" w:cs="Times New Roman"/>
                <w:bCs/>
                <w:color w:val="000000" w:themeColor="text1"/>
                <w:kern w:val="2"/>
                <w:sz w:val="24"/>
                <w:szCs w:val="24"/>
                <w14:textFill>
                  <w14:solidFill>
                    <w14:schemeClr w14:val="tx1"/>
                  </w14:solidFill>
                </w14:textFill>
              </w:rPr>
              <w:t>97</w:t>
            </w:r>
            <w:r>
              <w:rPr>
                <w:rFonts w:hint="eastAsia" w:ascii="Times New Roman" w:hAnsi="Times New Roman" w:cs="Times New Roman"/>
                <w:bCs/>
                <w:color w:val="000000" w:themeColor="text1"/>
                <w:kern w:val="2"/>
                <w:sz w:val="24"/>
                <w:szCs w:val="24"/>
                <w14:textFill>
                  <w14:solidFill>
                    <w14:schemeClr w14:val="tx1"/>
                  </w14:solidFill>
                </w14:textFill>
              </w:rPr>
              <w:t>号）</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w:t>
            </w:r>
            <w:r>
              <w:rPr>
                <w:rFonts w:hint="default" w:ascii="Times New Roman" w:hAnsi="Times New Roman" w:cs="Times New Roman"/>
                <w:bCs/>
                <w:color w:val="000000" w:themeColor="text1"/>
                <w:kern w:val="2"/>
                <w:sz w:val="24"/>
                <w:szCs w:val="24"/>
                <w14:textFill>
                  <w14:solidFill>
                    <w14:schemeClr w14:val="tx1"/>
                  </w14:solidFill>
                </w14:textFill>
              </w:rPr>
              <w:t>20</w:t>
            </w:r>
            <w:r>
              <w:rPr>
                <w:rFonts w:hint="eastAsia" w:ascii="Times New Roman" w:hAnsi="Times New Roman" w:cs="Times New Roman"/>
                <w:bCs/>
                <w:color w:val="000000" w:themeColor="text1"/>
                <w:kern w:val="2"/>
                <w:sz w:val="24"/>
                <w:szCs w:val="24"/>
                <w14:textFill>
                  <w14:solidFill>
                    <w14:schemeClr w14:val="tx1"/>
                  </w14:solidFill>
                </w14:textFill>
              </w:rPr>
              <w:t>个工作日内</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相关项目审批部门</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w:t>
            </w:r>
            <w:r>
              <w:rPr>
                <w:rFonts w:hint="eastAsia" w:ascii="方正仿宋_GBK" w:hAnsi="方正仿宋_GBK" w:cs="方正仿宋_GBK"/>
                <w:bCs/>
                <w:color w:val="000000" w:themeColor="text1"/>
                <w:kern w:val="2"/>
                <w:sz w:val="24"/>
                <w:szCs w:val="24"/>
                <w:lang w:eastAsia="zh-CN"/>
                <w14:textFill>
                  <w14:solidFill>
                    <w14:schemeClr w14:val="tx1"/>
                  </w14:solidFill>
                </w14:textFill>
              </w:rPr>
              <w:t>网</w:t>
            </w:r>
            <w:r>
              <w:rPr>
                <w:rFonts w:hint="eastAsia" w:ascii="方正仿宋_GBK" w:hAnsi="方正仿宋_GBK" w:cs="方正仿宋_GBK"/>
                <w:bCs/>
                <w:color w:val="000000" w:themeColor="text1"/>
                <w:kern w:val="2"/>
                <w:sz w:val="24"/>
                <w:szCs w:val="24"/>
                <w14:textFill>
                  <w14:solidFill>
                    <w14:schemeClr w14:val="tx1"/>
                  </w14:solidFill>
                </w14:textFill>
              </w:rPr>
              <w:t>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■管理部门网站</w:t>
            </w: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市场主体信用信息</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当事人的姓名或者名称、地址；违反法律、法规或者规章的事实和证据；行政处罚的种类和依据；行政处罚的履行方式和期限；不服行政处罚决定，申请行政复议或者提起行政诉讼的途径和期限</w:t>
            </w:r>
            <w:r>
              <w:rPr>
                <w:rFonts w:hint="eastAsia" w:ascii="Times New Roman" w:hAnsi="Times New Roman" w:cs="Times New Roman"/>
                <w:bCs/>
                <w:color w:val="000000" w:themeColor="text1"/>
                <w:spacing w:val="-6"/>
                <w:kern w:val="2"/>
                <w:sz w:val="24"/>
                <w:szCs w:val="24"/>
                <w14:textFill>
                  <w14:solidFill>
                    <w14:schemeClr w14:val="tx1"/>
                  </w14:solidFill>
                </w14:textFill>
              </w:rPr>
              <w:t>；作出行政处罚决定的行政机关名称和作出决定的日期。</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《中华人民共和国行政处罚法》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《中华人民共和国政府信息公开条例》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信息形成之日起20个工作日内</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lang w:eastAsia="zh-CN"/>
                <w14:textFill>
                  <w14:solidFill>
                    <w14:schemeClr w14:val="tx1"/>
                  </w14:solidFill>
                </w14:textFill>
              </w:rPr>
              <w:t>市发展改革委</w:t>
            </w:r>
            <w:r>
              <w:rPr>
                <w:rFonts w:hint="eastAsia" w:ascii="Times New Roman" w:hAnsi="Times New Roman" w:cs="Times New Roman"/>
                <w:bCs/>
                <w:color w:val="000000" w:themeColor="text1"/>
                <w:kern w:val="2"/>
                <w:sz w:val="24"/>
                <w:szCs w:val="24"/>
                <w14:textFill>
                  <w14:solidFill>
                    <w14:schemeClr w14:val="tx1"/>
                  </w14:solidFill>
                </w14:textFill>
              </w:rPr>
              <w:t>、区县招投标行政监管部门</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        □精准推送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信用中国      </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资格预审公告</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sym w:font="Wingdings 2" w:char="00A3"/>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招标公告、招标文件、资格预审文件澄清或修改</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、《电子招标投标办法》（国家发展改革委等八部委2013年第20号令）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澄清或者修改的内容可能影响资格预审申请文件或者投标文件编制的，在提交资格预审申请文件截止时间至少3日前，或者投标截止时间至少15日前</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公共资源交易平台 </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中标候选人公示</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cs="Times New Roman"/>
                <w:bCs/>
                <w:color w:val="000000" w:themeColor="text1"/>
                <w:kern w:val="2"/>
                <w:sz w:val="24"/>
                <w:szCs w:val="24"/>
                <w:lang w:eastAsia="zh-CN"/>
                <w14:textFill>
                  <w14:solidFill>
                    <w14:schemeClr w14:val="tx1"/>
                  </w14:solidFill>
                </w14:textFill>
              </w:rPr>
              <w:t>《中华人民共和国招标投标法》</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eastAsia" w:cs="Times New Roman"/>
                <w:bCs/>
                <w:color w:val="000000" w:themeColor="text1"/>
                <w:kern w:val="2"/>
                <w:sz w:val="24"/>
                <w:szCs w:val="24"/>
                <w:lang w:eastAsia="zh-CN"/>
                <w14:textFill>
                  <w14:solidFill>
                    <w14:schemeClr w14:val="tx1"/>
                  </w14:solidFill>
                </w14:textFill>
              </w:rPr>
              <w:t>《中华人民共和国招标投标法实施条例》</w:t>
            </w: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w:t>
            </w:r>
            <w:r>
              <w:rPr>
                <w:rFonts w:hint="eastAsia" w:ascii="Times New Roman" w:hAnsi="Times New Roman" w:cs="Times New Roman"/>
                <w:bCs/>
                <w:color w:val="000000" w:themeColor="text1"/>
                <w:spacing w:val="6"/>
                <w:kern w:val="2"/>
                <w:sz w:val="24"/>
                <w:szCs w:val="24"/>
                <w14:textFill>
                  <w14:solidFill>
                    <w14:schemeClr w14:val="tx1"/>
                  </w14:solidFill>
                </w14:textFill>
              </w:rPr>
              <w:t>发〔2017〕97号</w:t>
            </w: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）、《招标公告和公示信息发布管理办法》（国家发展改革委2017年第10号令）、《电子招标投标办法》（国家发展改革委等八部委2013年第20号令）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依法必须进行招标的项目，招标人应当自收到评标报告之日起3日内公示中标候选人，公示期不得少于3日</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中标结果</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招标项目名称、中标人名称、中标价、工期、项目负责人、中标内容。</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8</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公示、公告信息澄清、修改</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9</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暂停、终止招标</w:t>
            </w:r>
          </w:p>
        </w:tc>
        <w:tc>
          <w:tcPr>
            <w:tcW w:w="3061"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招标人名称、招标项目名称、招标项目编号、本项目首次公告日期、招标暂停或终止原因、联系方式、其他事项。</w:t>
            </w:r>
          </w:p>
        </w:tc>
        <w:tc>
          <w:tcPr>
            <w:tcW w:w="3083"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vAlign w:val="center"/>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合同订立信息</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包括项目名称、合同双方名称、合同价款、签约时间、合同期限。</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default" w:ascii="Times New Roman" w:hAnsi="Times New Roman" w:cs="Times New Roman"/>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合同当事人</w:t>
            </w:r>
          </w:p>
        </w:tc>
        <w:tc>
          <w:tcPr>
            <w:tcW w:w="3756" w:type="dxa"/>
            <w:vAlign w:val="top"/>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政府网站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两微一端</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广播电视</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公开查阅点</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sym w:font="Wingdings 2" w:char="00A3"/>
            </w:r>
            <w:r>
              <w:rPr>
                <w:rFonts w:hint="default" w:ascii="Times New Roman" w:hAnsi="Times New Roman" w:cs="Noto Sans Mono CJK JP Regular"/>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便民服务站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社区/企事业单位/村公示栏（电子屏）</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vAlign w:val="top"/>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vAlign w:val="center"/>
          </w:tcPr>
          <w:p>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合同履行及变更信息</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项目名称、标段名称、建设单位、承包人、项目完成质量、期限、结算金额、合同发生的变更、解除合同通知书、违约行为的处理结果。</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鼓励及时公开</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合同当事人</w:t>
            </w:r>
          </w:p>
        </w:tc>
        <w:tc>
          <w:tcPr>
            <w:tcW w:w="3756" w:type="dxa"/>
            <w:vAlign w:val="top"/>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□政府网站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w:t>
            </w:r>
            <w:r>
              <w:rPr>
                <w:rFonts w:hint="eastAsia" w:ascii="方正仿宋_GBK" w:hAnsi="方正仿宋_GBK" w:cs="方正仿宋_GBK"/>
                <w:bCs/>
                <w:color w:val="000000" w:themeColor="text1"/>
                <w:spacing w:val="-11"/>
                <w:kern w:val="2"/>
                <w:sz w:val="24"/>
                <w:szCs w:val="24"/>
                <w14:textFill>
                  <w14:solidFill>
                    <w14:schemeClr w14:val="tx1"/>
                  </w14:solidFill>
                </w14:textFill>
              </w:rPr>
              <w:t>区/企事业单位/村公示栏（电子屏）</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vAlign w:val="center"/>
          </w:tcPr>
          <w:p>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vAlign w:val="top"/>
          </w:tcPr>
          <w:p>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政府采购意向公告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采购意向公开的内容应当包括采购项目名称、采购需求概况、预算金额、预计采购时间等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关于开展政府采购意向公开工作的通知（财库〔2020〕10号）</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原则上不得晚于采购活动开始前30日公开采购意向</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p>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r>
              <w:rPr>
                <w:rFonts w:hint="eastAsia" w:ascii="方正仿宋_GBK" w:hAnsi="方正仿宋_GBK" w:cs="方正仿宋_GBK"/>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r>
              <w:rPr>
                <w:rFonts w:hint="eastAsia" w:ascii="方正仿宋_GBK" w:hAnsi="方正仿宋_GBK" w:cs="方正仿宋_GBK"/>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资格预审公告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竞争性谈判公告、竞争性磋商公告和询价公告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及时公开，公告期限为3个工作日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采购项目预算金额</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采购项目的预算金额以财政部门批复的部门预算中的政府采购预算为依据；对于部门预算批复前进行采购的项目，以预算</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二上数</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随采购公告、采购文件公开</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采购文件</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招标文件、竞争性谈判文件、竞争性磋商文件和询价通知书。</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随中标、成交结果同时公告。中标、成交结果公告前采购文件已公告的，不再重复公告</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18</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采购信息更正公告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采购人和采购代理机构名称、地址、联系方式；原公告的采购项目名称及首次公告日期；更正事项、内容及日期；采购项目联系人和电话。</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澄清或者修改的内容可能影响投标文件、资格预审申请文件、响应文件编制的，采购人或者采购代理机构发布澄清公告并以书面形式通知潜在供应商的时间，应当在</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投标截止时间至少15日前、提交资格预审申请文件截止时间至少3日前，或者提交首次响应文件截止之日3个工作日前</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；不足上述时</w:t>
            </w:r>
            <w:r>
              <w:rPr>
                <w:rFonts w:hint="eastAsia" w:ascii="Times New Roman" w:hAnsi="Times New Roman" w:cs="Noto Sans Mono CJK JP Regular"/>
                <w:bCs/>
                <w:color w:val="000000" w:themeColor="text1"/>
                <w:spacing w:val="-17"/>
                <w:kern w:val="2"/>
                <w:sz w:val="24"/>
                <w:szCs w:val="24"/>
                <w14:textFill>
                  <w14:solidFill>
                    <w14:schemeClr w14:val="tx1"/>
                  </w14:solidFill>
                </w14:textFill>
              </w:rPr>
              <w:t>间的，应当顺延提交投标文件、资格预审申请文件或响应文件的截止时间。</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19</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单一来源公示</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《重庆市单一来源采购申报及审批管理规定》（渝财采购</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2016</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56号）</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及时公开，公示期限不得少于5个工作日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中标、成交结果</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自中标、成交供应商确定之日起2个工作日内公告，公告期限为1个工作日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采购合同</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购人和采购代理机构名称、地址、联系方式；采购项目名称、编号，合同编号；供应商名称；合同内容。</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br w:type="textWrapping"/>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政府采购合同中涉及国家秘密、商业秘密的部分可以不公告，但其他内容应当公告。合同标的名称、规格型号、单价及合同金额等内容不得作为商业秘密。合同中涉及</w:t>
            </w:r>
            <w:r>
              <w:rPr>
                <w:rFonts w:hint="default" w:ascii="Times New Roman" w:hAnsi="Times New Roman" w:cs="Noto Sans Mono CJK JP Regular"/>
                <w:bCs/>
                <w:color w:val="000000" w:themeColor="text1"/>
                <w:kern w:val="2"/>
                <w:sz w:val="24"/>
                <w:szCs w:val="24"/>
                <w14:textFill>
                  <w14:solidFill>
                    <w14:schemeClr w14:val="tx1"/>
                  </w14:solidFill>
                </w14:textFill>
              </w:rPr>
              <w:t>个人隐私的姓名、联系方式等内容，除征得权利人同意外，不得对外公告。批量集中采购项目应当公告框架协议。</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合同签订之日起2个工作日内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终止公告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采购人和采购代理机构名称、地址、联系方式；采购项目名称、采购编号，采购方式；采购项目终止原因；公告期限；采购项目联系人和电话。</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公共服务项目采购需求</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采购对象需实现的功能或者目标，满足项目需要的所有技术、服务、安全等要求，采购对象的数量、交付或实施的时间和地</w:t>
            </w: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点，采购对象的验收标准等。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《财政部关于做好政府采购信息公开工作的通知》、《关于进一步加强政府采购需求和履约验收管理的指导意见》</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等线" w:cs="Noto Sans Mono CJK JP Regular"/>
                <w:bCs/>
                <w:color w:val="000000" w:themeColor="text1"/>
                <w:kern w:val="2"/>
                <w:sz w:val="24"/>
                <w:szCs w:val="24"/>
                <w:lang w:eastAsia="en-US"/>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公共服务项目验收结果</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采购人和采购代理机构名称、地址、联系方式；采购项目名称、编号，合同编号；履约供应商名称；验收单位；验收结果；验收人员。</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验收结束之日起2个工作日内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相关当事人名称及地址、投诉涉及采购项目名称、投诉事项或监督检查主要事项、处理依据、处理结果、执法机关名称、公告日期等。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（涉及处罚的）</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依据、</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结果、执法机关名称、公告日期等。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27</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28</w:t>
            </w:r>
          </w:p>
        </w:tc>
        <w:tc>
          <w:tcPr>
            <w:tcW w:w="1503" w:type="dxa"/>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（涉及处罚的）</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29</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土地出让计划</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明确国有建设用地供应指导思想和原则；提出国有建设用地供应政策导向；确定国有建设用地供应总量、结构、布局、时序和方式；落实计划供应的宗地；实施计划的保障措施。</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《国务院办公厅关于推进公共资源配置领域政府信息公开的意见》、《招标拍卖挂牌出让国有建设用地使用权规定》、《国有建设用地供应计划编制规范（试行）》</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每年3月31日前，公布年度国有建设用地供应计划</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方正仿宋_GBK" w:cs="Noto Sans Mono CJK JP Regular"/>
                <w:bCs/>
                <w:color w:val="000000" w:themeColor="text1"/>
                <w:spacing w:val="-6"/>
                <w:kern w:val="2"/>
                <w:sz w:val="24"/>
                <w:szCs w:val="24"/>
                <w:lang w:eastAsia="zh-CN"/>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lang w:eastAsia="zh-CN"/>
                <w14:textFill>
                  <w14:solidFill>
                    <w14:schemeClr w14:val="tx1"/>
                  </w14:solidFill>
                </w14:textFill>
              </w:rPr>
              <w:t>市、县自然资源主管部门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各级自然资源部门网站</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30</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hint="default" w:ascii="Times New Roman" w:hAnsi="Times New Roman" w:cs="Noto Sans Mono CJK JP Regular"/>
                <w:bCs/>
                <w:color w:val="000000" w:themeColor="text1"/>
                <w:spacing w:val="-6"/>
                <w:kern w:val="2"/>
                <w:sz w:val="24"/>
                <w:szCs w:val="24"/>
                <w14:textFill>
                  <w14:solidFill>
                    <w14:schemeClr w14:val="tx1"/>
                  </w14:solidFill>
                </w14:textFill>
              </w:rPr>
              <w:t>证金；其他需要公告的事项。</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至少在投标、拍卖或者挂牌开始日前20日。挂牌时间不得少于10日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公告调整</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公开国有建设用地使用权出让公告、项目概况、澄清或者修改事项、联系方式。</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《招标拍卖挂牌出让国有土地使用权规范》</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按原公告发布渠道及时发布补充公告，涉及土地使用条件变更等影响土地价格的重大变动，补充公告发布时间距招拍挂活动开始时间少于20日的，招拍挂活动相应顺延</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招标拍卖挂牌出让结果（成交公示）</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土地位置、面积、用途、开发程度、土地级别、容积率、出让年限、供地方式、受让人、成交价格和成交时间等。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《国务院办公厅关于推进公共资源配置领域政府信息公开的意见》、《招标拍卖挂牌出让国有建设用地使用权规定》、《招标拍卖挂牌出让国有土地使用权规范》</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招标拍卖挂牌活动结束后的10个工作日内</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9"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sz w:val="24"/>
                <w:szCs w:val="24"/>
                <w14:textFill>
                  <w14:solidFill>
                    <w14:schemeClr w14:val="tx1"/>
                  </w14:solidFill>
                </w14:textFill>
              </w:rPr>
            </w:pPr>
            <w:r>
              <w:rPr>
                <w:rFonts w:hint="default" w:ascii="Times New Roman" w:hAnsi="Times New Roman" w:cs="Noto Sans Mono CJK JP Regular"/>
                <w:bCs/>
                <w:color w:val="000000" w:themeColor="text1"/>
                <w:spacing w:val="-10"/>
                <w:sz w:val="24"/>
                <w:szCs w:val="24"/>
                <w14:textFill>
                  <w14:solidFill>
                    <w14:schemeClr w14:val="tx1"/>
                  </w14:solidFill>
                </w14:textFill>
              </w:rPr>
              <w:t>在投标截止日、公开拍卖日或者挂牌起始日20个工作日前发布。挂牌时间不得少于10个工作日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招标拍卖挂牌成交结果公示</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中标人或者竞得人的名称、住所；成交时间、地点；中标或者竞得的勘查区块、面积、开采范围的简要情况；矿业权成交价格；申请办理矿业权登记的时限；对公示内容提出异议的方式及途径；应当公示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发出中标通知书或者签订成交确认书后5个工作日内进行信息公示。公示期不少于10个工作日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35</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国有企业产权转让信息预披露</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应当预披露的，</w:t>
            </w:r>
            <w:r>
              <w:rPr>
                <w:rFonts w:hint="default" w:ascii="Times New Roman" w:hAnsi="Times New Roman" w:cs="Noto Sans Mono CJK JP Regular"/>
                <w:bCs/>
                <w:color w:val="000000" w:themeColor="text1"/>
                <w:kern w:val="2"/>
                <w:sz w:val="24"/>
                <w:szCs w:val="24"/>
                <w14:textFill>
                  <w14:solidFill>
                    <w14:schemeClr w14:val="tx1"/>
                  </w14:solidFill>
                </w14:textFill>
              </w:rPr>
              <w:t>披露信息时间不得少于20个工作日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36</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国有企业产权转让信息披露</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及时公开，正式披露信息时间不得少于20个工作日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37</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国有企业产权转让成交公告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交易标的名称、转让标的评估结果、转让底价、交易价格。</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》、《企业国有资产交易监督管理办法》</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及时公开，公告期不少于5个工作日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38</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4"/>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4"/>
                <w:kern w:val="2"/>
                <w:sz w:val="24"/>
                <w:szCs w:val="24"/>
                <w14:textFill>
                  <w14:solidFill>
                    <w14:schemeClr w14:val="tx1"/>
                  </w14:solidFill>
                </w14:textFill>
              </w:rPr>
              <w:t>国有企业资产转让信息披露</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标的基本情况；转让底价、价款支付方式和期限要求、交易保证金设定等交易条件；竞价方式；资产展示安排；其他需要披露的事项</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转让底价高于100万元、低于1000万元的资产转让项目，信息公告期应不少于10个工作日；转让底价高于1000万元的资产转让项目，信息公告期应不少于20个工作日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vAlign w:val="center"/>
          </w:tcPr>
          <w:p>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39</w:t>
            </w:r>
          </w:p>
        </w:tc>
        <w:tc>
          <w:tcPr>
            <w:tcW w:w="150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国有企业资产转让成交公告</w:t>
            </w:r>
          </w:p>
        </w:tc>
        <w:tc>
          <w:tcPr>
            <w:tcW w:w="3061"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交易标的名称、评估价格、转让底价、交易价格等。</w:t>
            </w:r>
          </w:p>
        </w:tc>
        <w:tc>
          <w:tcPr>
            <w:tcW w:w="308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不少于5个工作日</w:t>
            </w:r>
          </w:p>
        </w:tc>
        <w:tc>
          <w:tcPr>
            <w:tcW w:w="1942"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3756"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vAlign w:val="center"/>
          </w:tcPr>
          <w:p>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bl>
    <w:p>
      <w:pPr>
        <w:spacing w:before="0" w:after="0"/>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spacing w:before="0" w:after="0"/>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shd w:val="clear" w:color="auto" w:fill="auto"/>
        <w:adjustRightInd/>
        <w:spacing w:before="0" w:after="0" w:line="240" w:lineRule="auto"/>
        <w:rPr>
          <w:rFonts w:ascii="Times New Roman" w:hAnsi="Times New Roman" w:cs="Times New Roman"/>
          <w:color w:val="000000" w:themeColor="text1"/>
          <w14:textFill>
            <w14:solidFill>
              <w14:schemeClr w14:val="tx1"/>
            </w14:solidFill>
          </w14:textFill>
        </w:rPr>
      </w:pPr>
    </w:p>
    <w:p>
      <w:pPr>
        <w:adjustRightInd/>
        <w:spacing w:before="0" w:after="0" w:line="240" w:lineRule="auto"/>
        <w:rPr>
          <w:rFonts w:ascii="Times New Roman" w:hAnsi="Times New Roman" w:cs="Times New Roman"/>
          <w:bCs/>
          <w:color w:val="000000" w:themeColor="text1"/>
          <w14:textFill>
            <w14:solidFill>
              <w14:schemeClr w14:val="tx1"/>
            </w14:solidFill>
          </w14:textFill>
        </w:rPr>
      </w:pPr>
    </w:p>
    <w:p>
      <w:pPr>
        <w:overflowPunct w:val="0"/>
        <w:adjustRightInd/>
        <w:spacing w:before="0" w:after="0" w:line="240" w:lineRule="auto"/>
        <w:rPr>
          <w:rFonts w:ascii="Times New Roman" w:hAnsi="Times New Roman"/>
          <w:color w:val="000000" w:themeColor="text1"/>
          <w14:textFill>
            <w14:solidFill>
              <w14:schemeClr w14:val="tx1"/>
            </w14:solidFill>
          </w14:textFill>
        </w:rPr>
      </w:pPr>
    </w:p>
    <w:p>
      <w:pPr>
        <w:overflowPunct w:val="0"/>
        <w:adjustRightInd/>
        <w:spacing w:before="0" w:after="0" w:line="240" w:lineRule="auto"/>
        <w:rPr>
          <w:rFonts w:ascii="Times New Roman" w:hAnsi="Times New Roman"/>
          <w:color w:val="000000" w:themeColor="text1"/>
          <w14:textFill>
            <w14:solidFill>
              <w14:schemeClr w14:val="tx1"/>
            </w14:solidFill>
          </w14:textFill>
        </w:rPr>
      </w:pPr>
    </w:p>
    <w:p>
      <w:pPr>
        <w:tabs>
          <w:tab w:val="right" w:pos="8844"/>
        </w:tabs>
        <w:spacing w:before="0" w:after="0" w:line="240" w:lineRule="auto"/>
        <w:rPr>
          <w:color w:val="000000" w:themeColor="text1"/>
          <w14:textFill>
            <w14:solidFill>
              <w14:schemeClr w14:val="tx1"/>
            </w14:solidFill>
          </w14:textFill>
        </w:rPr>
      </w:pPr>
    </w:p>
    <w:sectPr>
      <w:footerReference r:id="rId5" w:type="default"/>
      <w:pgSz w:w="23811" w:h="16838" w:orient="landscape"/>
      <w:pgMar w:top="1531" w:right="2098" w:bottom="1531" w:left="1984" w:header="851" w:footer="1417"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Noto Sans Mono CJK JP Regular">
    <w:altName w:val="宋体"/>
    <w:panose1 w:val="020B0500000000000000"/>
    <w:charset w:val="86"/>
    <w:family w:val="swiss"/>
    <w:pitch w:val="default"/>
    <w:sig w:usb0="00000000" w:usb1="00000000" w:usb2="00000016" w:usb3="00000000" w:csb0="602E01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Times New Roman" w:cs="Times New Roman"/>
        <w:b w:val="0"/>
        <w:i w:val="0"/>
        <w:color w:val="auto"/>
        <w:sz w:val="18"/>
        <w:u w:val="none" w:color="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5"/>
  <w:drawingGridHorizontalSpacing w:val="158"/>
  <w:drawingGridVerticalSpacing w:val="290"/>
  <w:displayHorizontalDrawingGridEvery w:val="2"/>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A4D84"/>
    <w:rsid w:val="00FA4DBD"/>
    <w:rsid w:val="01A06D82"/>
    <w:rsid w:val="01B25A4D"/>
    <w:rsid w:val="034403A8"/>
    <w:rsid w:val="03505C66"/>
    <w:rsid w:val="07DE0AAA"/>
    <w:rsid w:val="0BD47AA6"/>
    <w:rsid w:val="0CF02DEE"/>
    <w:rsid w:val="0F8141E3"/>
    <w:rsid w:val="12080E07"/>
    <w:rsid w:val="12C81AA5"/>
    <w:rsid w:val="1578613D"/>
    <w:rsid w:val="16091D46"/>
    <w:rsid w:val="1750049F"/>
    <w:rsid w:val="193D01E0"/>
    <w:rsid w:val="1B813D91"/>
    <w:rsid w:val="1D15626E"/>
    <w:rsid w:val="1D2027D0"/>
    <w:rsid w:val="1D4E12BA"/>
    <w:rsid w:val="1F4C00ED"/>
    <w:rsid w:val="226117B6"/>
    <w:rsid w:val="23445D57"/>
    <w:rsid w:val="23570372"/>
    <w:rsid w:val="256B156C"/>
    <w:rsid w:val="25B27047"/>
    <w:rsid w:val="25E60A73"/>
    <w:rsid w:val="26D83835"/>
    <w:rsid w:val="27F5397D"/>
    <w:rsid w:val="28416336"/>
    <w:rsid w:val="2AFF29AF"/>
    <w:rsid w:val="2B6540BB"/>
    <w:rsid w:val="2B6F62D5"/>
    <w:rsid w:val="2B8704A8"/>
    <w:rsid w:val="30C82935"/>
    <w:rsid w:val="32830525"/>
    <w:rsid w:val="359D56FF"/>
    <w:rsid w:val="35EF5E14"/>
    <w:rsid w:val="36453517"/>
    <w:rsid w:val="37083883"/>
    <w:rsid w:val="38146403"/>
    <w:rsid w:val="38B97D28"/>
    <w:rsid w:val="3A1F5203"/>
    <w:rsid w:val="3D584BA2"/>
    <w:rsid w:val="402E288B"/>
    <w:rsid w:val="417E794A"/>
    <w:rsid w:val="45E47B16"/>
    <w:rsid w:val="47651902"/>
    <w:rsid w:val="477B47A9"/>
    <w:rsid w:val="4A30398A"/>
    <w:rsid w:val="4A9F4CF0"/>
    <w:rsid w:val="4AC07792"/>
    <w:rsid w:val="4CE7092E"/>
    <w:rsid w:val="4DF56F11"/>
    <w:rsid w:val="4E252DB9"/>
    <w:rsid w:val="5073301F"/>
    <w:rsid w:val="545424E6"/>
    <w:rsid w:val="549E79CF"/>
    <w:rsid w:val="54E47F11"/>
    <w:rsid w:val="55835057"/>
    <w:rsid w:val="57DB6B64"/>
    <w:rsid w:val="5BC50A62"/>
    <w:rsid w:val="60050F24"/>
    <w:rsid w:val="61263F4D"/>
    <w:rsid w:val="61561366"/>
    <w:rsid w:val="6383212C"/>
    <w:rsid w:val="65353CC0"/>
    <w:rsid w:val="65E0558A"/>
    <w:rsid w:val="68E8683A"/>
    <w:rsid w:val="694D661D"/>
    <w:rsid w:val="696E3491"/>
    <w:rsid w:val="69A743BA"/>
    <w:rsid w:val="6AFF5937"/>
    <w:rsid w:val="6C3D2854"/>
    <w:rsid w:val="6E163EDE"/>
    <w:rsid w:val="726C3FD1"/>
    <w:rsid w:val="73815F40"/>
    <w:rsid w:val="76B77724"/>
    <w:rsid w:val="7A7973A8"/>
    <w:rsid w:val="7B0C0998"/>
    <w:rsid w:val="7BAA0A78"/>
    <w:rsid w:val="7C5031A0"/>
    <w:rsid w:val="7E707F48"/>
    <w:rsid w:val="7EFE1DAF"/>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页脚 Char"/>
    <w:link w:val="3"/>
    <w:qFormat/>
    <w:uiPriority w:val="99"/>
    <w:rPr>
      <w:rFonts w:eastAsia="方正仿宋_GBK"/>
      <w:sz w:val="18"/>
      <w:szCs w:val="18"/>
    </w:rPr>
  </w:style>
  <w:style w:type="character" w:customStyle="1" w:styleId="9">
    <w:name w:val="页眉 Char"/>
    <w:link w:val="4"/>
    <w:qFormat/>
    <w:uiPriority w:val="0"/>
    <w:rPr>
      <w:rFonts w:eastAsia="方正仿宋_GBK"/>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F120-1A54-4E30-ABFF-98F445A6C9F8}">
  <ds:schemaRefs/>
</ds:datastoreItem>
</file>

<file path=docProps/app.xml><?xml version="1.0" encoding="utf-8"?>
<Properties xmlns="http://schemas.openxmlformats.org/officeDocument/2006/extended-properties" xmlns:vt="http://schemas.openxmlformats.org/officeDocument/2006/docPropsVTypes">
  <Template>Normal</Template>
  <Company>jw</Company>
  <Pages>12</Pages>
  <Words>4647</Words>
  <Characters>4745</Characters>
  <Lines>1</Lines>
  <Paragraphs>1</Paragraphs>
  <TotalTime>3</TotalTime>
  <ScaleCrop>false</ScaleCrop>
  <LinksUpToDate>false</LinksUpToDate>
  <CharactersWithSpaces>4936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Administrator</cp:lastModifiedBy>
  <cp:lastPrinted>2025-04-09T07:59:00Z</cp:lastPrinted>
  <dcterms:modified xsi:type="dcterms:W3CDTF">2026-02-28T03:40:49Z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616F2E60713E405791575E8E22F99510</vt:lpwstr>
  </property>
  <property fmtid="{D5CDD505-2E9C-101B-9397-08002B2CF9AE}" pid="3" name="KSOProductBuildVer">
    <vt:lpwstr>2052-11.8.2.12309</vt:lpwstr>
  </property>
  <property fmtid="{D5CDD505-2E9C-101B-9397-08002B2CF9AE}" pid="4" name="KSOTemplateDocerSaveRecord">
    <vt:lpwstr>eyJoZGlkIjoiZDZmNDIyYTk1OGQxZDU2NDhmNDg5YmIzODNhMGJjNjAiLCJ1c2VySWQiOiIzMTg5Njg1NjEifQ==</vt:lpwstr>
  </property>
</Properties>
</file>